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(20200522-20200528)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2020年5月22日至2020年5月28日期间违法比例高的工程运输企业：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2020年5月22日至2020年5月28日期间事故比例高的工程运输企业：无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2020年5月22日至2020年5月28日期间无违法的工程运输企业：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4587"/>
        <w:gridCol w:w="1278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江苏爱富希新型建材股份有限公司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2020年5月22日至2020年5月28日无事故的工程运输企业：</w:t>
      </w:r>
    </w:p>
    <w:tbl>
      <w:tblPr>
        <w:tblStyle w:val="3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625"/>
        <w:gridCol w:w="3160"/>
        <w:gridCol w:w="2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江苏爱富希新型建材股份有限公司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苏州荣超基础工程有限公司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上海绿地集团（昆山）商品混凝土有限公司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张家港市杨舍泗港汇鑫湾建材经营部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320500014502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17BA"/>
    <w:rsid w:val="08770C78"/>
    <w:rsid w:val="123E31B1"/>
    <w:rsid w:val="21BF0870"/>
    <w:rsid w:val="44444113"/>
    <w:rsid w:val="45DC17BA"/>
    <w:rsid w:val="4FAE6C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dcterms:modified xsi:type="dcterms:W3CDTF">2020-05-29T03:29:00Z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