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(20200529-20200604)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2020年5月29日至2020年6月4日期间违法比例高的工程运输企业：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2020年5月29日至2020年6月4日期间事故比例高的工程运输企业：无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2020年5月29日至2020年6月4日期间无违法的工程运输企业：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4587"/>
        <w:gridCol w:w="1278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太仓市双凤镇环境卫生管理所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2020年5月29日至2020年6月4日期间无事故的工程运输企业：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625"/>
        <w:gridCol w:w="3160"/>
        <w:gridCol w:w="2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江苏爱富希新型建材股份有限公司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苏州荣超基础工程有限公司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江苏金瀛市政工程有限公司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通安自备车辆单位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320500010605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昆山大队异地经营企业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320500014502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320500034920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320500037696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320500045078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17BA"/>
    <w:rsid w:val="330E5CE9"/>
    <w:rsid w:val="45DC17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dcterms:modified xsi:type="dcterms:W3CDTF">2020-06-12T06:13:00Z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